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4E98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14:ligatures w14:val="none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14:ligatures w14:val="none"/>
        </w:rPr>
        <w:t>贵州省粮油作物优质高效增产全省重点实验室2026年度开放课题申报指南</w:t>
      </w:r>
    </w:p>
    <w:p w14:paraId="42036A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14:ligatures w14:val="none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14:ligatures w14:val="none"/>
        </w:rPr>
        <w:t>（重点项目）</w:t>
      </w:r>
    </w:p>
    <w:p w14:paraId="7A8312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3" w:firstLineChars="200"/>
        <w:jc w:val="center"/>
        <w:textAlignment w:val="auto"/>
        <w:rPr>
          <w:rFonts w:hint="default" w:ascii="Times New Roman" w:hAnsi="Times New Roman" w:eastAsia="仿宋_GB2312" w:cs="Times New Roman"/>
          <w:b/>
          <w:sz w:val="32"/>
          <w:szCs w:val="32"/>
          <w14:ligatures w14:val="none"/>
        </w:rPr>
      </w:pPr>
    </w:p>
    <w:p w14:paraId="646D4B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各有关单位、科研人员：</w:t>
      </w:r>
    </w:p>
    <w:p w14:paraId="180A65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《20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年度贵州省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粮油作物优质高效增产全省重点实验室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开放课题申报指南》（下称《申报指南》）经实验室学术委员会研究同意，即日发布并开始受理项目申报。接受国内外学者申请，鼓励与本实验室固定人员联合申报，本年度计划资助</w:t>
      </w:r>
      <w:r>
        <w:rPr>
          <w:rFonts w:hint="default" w:ascii="Times New Roman" w:hAnsi="Times New Roman" w:eastAsia="仿宋_GB2312" w:cs="Times New Roman"/>
          <w:sz w:val="32"/>
          <w:szCs w:val="32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项，每项资助经费不超过</w:t>
      </w:r>
      <w:r>
        <w:rPr>
          <w:rFonts w:hint="default" w:ascii="Times New Roman" w:hAnsi="Times New Roman" w:eastAsia="仿宋_GB2312" w:cs="Times New Roman"/>
          <w:sz w:val="32"/>
          <w:szCs w:val="32"/>
        </w:rPr>
        <w:t>10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万元，研究期限</w:t>
      </w:r>
      <w:r>
        <w:rPr>
          <w:rFonts w:hint="default" w:ascii="Times New Roman" w:hAnsi="Times New Roman" w:eastAsia="仿宋_GB2312" w:cs="Times New Roman"/>
          <w:sz w:val="32"/>
          <w:szCs w:val="32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年。现将项目申报的有关事项公告如下：</w:t>
      </w:r>
    </w:p>
    <w:p w14:paraId="61E0E0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  <w:t>一、资助方向及重点研究内容</w:t>
      </w:r>
    </w:p>
    <w:p w14:paraId="0B1F13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围绕粮食安全重大战略需求和粮油作物大面积单产提升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的科学问题与技术难题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资助方向为以下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个研究内容中的某一方向。</w:t>
      </w:r>
    </w:p>
    <w:p w14:paraId="423B8B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1.水稻、小麦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产量品质协同提升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理论与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技术</w:t>
      </w:r>
    </w:p>
    <w:p w14:paraId="016D7A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针对水稻、小麦生产中产量不稳、品质不优的产业难题，</w:t>
      </w:r>
      <w:bookmarkStart w:id="0" w:name="OLE_LINK5"/>
      <w:r>
        <w:rPr>
          <w:rFonts w:hint="default" w:ascii="Times New Roman" w:hAnsi="Times New Roman" w:eastAsia="仿宋_GB2312" w:cs="Times New Roman"/>
          <w:sz w:val="32"/>
          <w:szCs w:val="32"/>
        </w:rPr>
        <w:t>解析碳氮代谢的机制，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阐明产量品质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协同提升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的生理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生态及分子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机制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为栽培措施的精准调控提供理论依据和技术支撑。</w:t>
      </w:r>
      <w:bookmarkEnd w:id="0"/>
    </w:p>
    <w:p w14:paraId="5FF3FA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2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.稻油轮作理论与技术</w:t>
      </w:r>
    </w:p>
    <w:p w14:paraId="2DDD82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稻油轮作是长江流域面积最大的种植模式。传统生产中普遍存在水稻机插和油菜机播机收难等问题。通过农机农艺融合，提高水稻和油菜种植效率及秸秆还田，推动本地区粮油作物增产。</w:t>
      </w:r>
    </w:p>
    <w:p w14:paraId="25F0AF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3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.大豆、油菜和玉米高产高效优质基因挖掘与创新利用</w:t>
      </w:r>
    </w:p>
    <w:p w14:paraId="1D94E2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大豆、油菜和玉米是贵州喀斯特山区重要的粮油作物，当地主栽品种存在产量不高、品质不稳、抗逆性弱等问题。本方向聚焦大豆、油菜和玉米高产、高效、优质核心性状，开展关键功能基因挖掘、优异种质筛选与基因创新利用研究，创制适配山地种植的优质高产新种质、新品系，破解山地粮油作物高产优质协同提升难题，助力粮油产业高质量发展。</w:t>
      </w:r>
    </w:p>
    <w:p w14:paraId="618853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  <w:t>二、申报条件</w:t>
      </w:r>
    </w:p>
    <w:p w14:paraId="45E5D0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申请人应从事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粮油作物栽培或育种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研究经历，曾发表过高水平研究论文；具有创新的学术思想，有明确、先进的研究目标，考核指标明确、具体；有科学、可行的研究方案。</w:t>
      </w:r>
    </w:p>
    <w:p w14:paraId="1C8F62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申请人基本条件</w:t>
      </w:r>
    </w:p>
    <w:p w14:paraId="43C304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非本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重点实验室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的在编在岗人员，具有较强科学研究、技术开发能力，能解决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贵州省粮油作物优质高效增产全省重点实验室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设立资助方向技术问题，能独立承担较复杂项目研究。</w:t>
      </w:r>
    </w:p>
    <w:p w14:paraId="6F6196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具备博士学位、中级职称以上（含）技术职称的国内外科技工作者，博士后研究人员。</w:t>
      </w:r>
    </w:p>
    <w:p w14:paraId="0DCFAA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申请人应具备严谨务实，实事求是的科学态度，确保拟申报项目的工作基础、研究现状、人员组成、研究方法等内容真实可信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，无违反科研诚信行为记录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 w14:paraId="72BEFA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申请人要严格按照目标相关性、政策相符性和经济合理性原则，规范编制项目经费预算，确保经费预算科学、规范和合理。</w:t>
      </w:r>
    </w:p>
    <w:p w14:paraId="239614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  <w:t>三、基金执行说明</w:t>
      </w:r>
    </w:p>
    <w:p w14:paraId="4F9A5E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开放课题经费在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贵州省粮油作物优质高效增产全省重点实验室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（贵州大学）使用，经费不外拨。经费使用需遵守《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贵州省粮油作物优质高效增产全省重点实验室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科研项目及经费管理办法》的规定。</w:t>
      </w:r>
    </w:p>
    <w:p w14:paraId="701B06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凡接受本基金资助的项目研究成果，由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贵州省粮油作物优质高效增产全省重点实验室（贵州大学）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和研究者所在单位共享，研究成果或论文发表时，须注明受“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贵州省粮油作物优质高效增产全省重点实验室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2026年度联合开放课题基金”资助，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且为第一标注，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具体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单位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署名为：</w:t>
      </w:r>
    </w:p>
    <w:p w14:paraId="462864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中文：贵州省粮油作物优质高效增产全省重点实验室，贵阳，550025；英文：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Guizhou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Key Laboratory of High Quality, High Efficiency, and Yield Enhancement in Grain and Oil Crops, Guizhou University, Guiyang 550025, China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 w14:paraId="16B1DA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论文中中文应注明“贵州省粮油作物优质高效增产全省重点实验室（项目编号:黔科合平台ZSYS[2025]037）”；英文为：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Guizhou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Key Laboratory of High Quality, High Efficiency, and Yield Enhancement in Grain and Oil Crops, Guizhou University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(Qian-Ke-He-Platform ZSYS[2025] 037)。</w:t>
      </w:r>
    </w:p>
    <w:p w14:paraId="2DA89D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考核指标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须包含中期考核与结题考核要求，除满足结题要求外，还须满足下列条件之一：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①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形成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方向相关的1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项新产品或取得技术突破，具有一定的经济效益且在相关行业采用（附企业采纳证明），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并以第一发明人受理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发明专利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项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或授权发明专利1项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②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完成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方向相关的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技术成果产业化1项或通过省部级及以上成果鉴定1项，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并以第一发明人受理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发明专利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项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或授权发明专利1项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③以第一或通讯作者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发表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方向相关的一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区SCI论文1篇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或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二区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2篇（2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025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中国科学院分区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）。</w:t>
      </w:r>
      <w:bookmarkStart w:id="1" w:name="OLE_LINK163"/>
      <w:r>
        <w:rPr>
          <w:rFonts w:hint="default" w:ascii="Times New Roman" w:hAnsi="Times New Roman" w:eastAsia="仿宋_GB2312" w:cs="Times New Roman"/>
          <w:sz w:val="32"/>
          <w:szCs w:val="32"/>
        </w:rPr>
        <w:t>SCI论文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应以重点实验室为第一或第二署名单位，同时资助单位的贵州大学固定人员为通讯作者之一；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专利、软著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、品种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等知识产权，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至少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须将“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贵州大学</w:t>
      </w:r>
      <w:r>
        <w:rPr>
          <w:rFonts w:hint="default" w:ascii="Times New Roman" w:hAnsi="Times New Roman" w:eastAsia="仿宋_GB2312" w:cs="Times New Roman"/>
          <w:sz w:val="32"/>
          <w:szCs w:val="32"/>
        </w:rPr>
        <w:t>”作为第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完成单位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，且完成人中要包含贵州大学固定人员。</w:t>
      </w:r>
      <w:bookmarkEnd w:id="1"/>
      <w:r>
        <w:rPr>
          <w:rFonts w:hint="default" w:ascii="Times New Roman" w:hAnsi="Times New Roman" w:eastAsia="仿宋_GB2312" w:cs="Times New Roman"/>
          <w:sz w:val="32"/>
          <w:szCs w:val="32"/>
        </w:rPr>
        <w:t>课题结束后，成果报告交实验室归档。</w:t>
      </w:r>
    </w:p>
    <w:p w14:paraId="212A72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  <w:t>四、申请流程</w:t>
      </w:r>
    </w:p>
    <w:p w14:paraId="747836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2026年</w:t>
      </w:r>
      <w:r>
        <w:rPr>
          <w:rFonts w:hint="default" w:ascii="Times New Roman" w:hAnsi="Times New Roman" w:eastAsia="仿宋_GB2312" w:cs="Times New Roman"/>
          <w:sz w:val="32"/>
          <w:szCs w:val="32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月20日前开放课题负责人将《申报书》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详见附件1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和《合同书》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详见附件2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发送到联系邮箱（合同书可延后）。并同时将纸质版寄给联系人。</w:t>
      </w:r>
    </w:p>
    <w:p w14:paraId="42E0F1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《合同书》中的经费预算按照财政总资助经费、其他来源经费合计填报,项目研究起止时间统一填报为 2026年</w:t>
      </w:r>
      <w:r>
        <w:rPr>
          <w:rFonts w:hint="default" w:ascii="Times New Roman" w:hAnsi="Times New Roman" w:eastAsia="仿宋_GB2312" w:cs="Times New Roman"/>
          <w:sz w:val="32"/>
          <w:szCs w:val="32"/>
        </w:rPr>
        <w:t>7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月1日至2029年</w:t>
      </w:r>
      <w:r>
        <w:rPr>
          <w:rFonts w:hint="default" w:ascii="Times New Roman" w:hAnsi="Times New Roman" w:eastAsia="仿宋_GB2312" w:cs="Times New Roman"/>
          <w:sz w:val="32"/>
          <w:szCs w:val="32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月30日。</w:t>
      </w:r>
    </w:p>
    <w:p w14:paraId="4AADEF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项目负责人提交的《合同书》须A3双面打印骑逢装订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一式四份加盖学校公章后于2026年</w:t>
      </w:r>
      <w:r>
        <w:rPr>
          <w:rFonts w:hint="default" w:ascii="Times New Roman" w:hAnsi="Times New Roman" w:eastAsia="仿宋_GB2312" w:cs="Times New Roman"/>
          <w:sz w:val="32"/>
          <w:szCs w:val="32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月30日前报送给实验室联系人。</w:t>
      </w:r>
    </w:p>
    <w:p w14:paraId="0DC743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  <w:t>五、联系方式</w:t>
      </w:r>
    </w:p>
    <w:p w14:paraId="12410A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联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系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人：宋晓燕，方中明</w:t>
      </w:r>
    </w:p>
    <w:p w14:paraId="644D64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联系电话：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13523049176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13297000816</w:t>
      </w:r>
    </w:p>
    <w:p w14:paraId="758A26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联系邮箱：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fldChar w:fldCharType="begin"/>
      </w:r>
      <w:r>
        <w:rPr>
          <w:rFonts w:hint="default" w:ascii="Times New Roman" w:hAnsi="Times New Roman" w:eastAsia="仿宋_GB2312" w:cs="Times New Roman"/>
          <w:sz w:val="32"/>
          <w:szCs w:val="32"/>
        </w:rPr>
        <w:instrText xml:space="preserve"> HYPERLINK "mailto:songxy@gzu.edu.cn" </w:instrText>
      </w:r>
      <w:r>
        <w:rPr>
          <w:rFonts w:hint="default" w:ascii="Times New Roman" w:hAnsi="Times New Roman" w:eastAsia="仿宋_GB2312" w:cs="Times New Roman"/>
          <w:sz w:val="32"/>
          <w:szCs w:val="32"/>
        </w:rPr>
        <w:fldChar w:fldCharType="separate"/>
      </w:r>
      <w:r>
        <w:rPr>
          <w:rStyle w:val="18"/>
          <w:rFonts w:hint="default" w:ascii="Times New Roman" w:hAnsi="Times New Roman" w:eastAsia="仿宋_GB2312" w:cs="Times New Roman"/>
          <w:iCs/>
          <w:color w:val="0000FF"/>
          <w:sz w:val="32"/>
          <w:szCs w:val="32"/>
          <w14:ligatures w14:val="none"/>
        </w:rPr>
        <w:t>songxy@gzu.edu.cn</w:t>
      </w:r>
      <w:r>
        <w:rPr>
          <w:rStyle w:val="18"/>
          <w:rFonts w:hint="default" w:ascii="Times New Roman" w:hAnsi="Times New Roman" w:eastAsia="仿宋_GB2312" w:cs="Times New Roman"/>
          <w:iCs/>
          <w:color w:val="0000FF"/>
          <w:sz w:val="32"/>
          <w:szCs w:val="32"/>
          <w14:ligatures w14:val="none"/>
        </w:rPr>
        <w:fldChar w:fldCharType="end"/>
      </w:r>
    </w:p>
    <w:p w14:paraId="4FFE63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通讯地址：贵州省贵阳市花溪区贵州大学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西校区崇厚楼1036，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邮编：550025</w:t>
      </w:r>
    </w:p>
    <w:p w14:paraId="6D3F03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附件1：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贵州省粮油作物优质高效增产全省重点实验室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开放基金申请书</w:t>
      </w:r>
    </w:p>
    <w:p w14:paraId="2566CA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附件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贵州省粮油作物优质高效增产全省重点实验室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开放基金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项目合同</w:t>
      </w:r>
    </w:p>
    <w:p w14:paraId="0FA838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bookmarkStart w:id="2" w:name="_GoBack"/>
      <w:bookmarkEnd w:id="2"/>
    </w:p>
    <w:p w14:paraId="2674B3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贵州省粮油作物优质高效增产全省重点实验室</w:t>
      </w:r>
    </w:p>
    <w:p w14:paraId="3EAE85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2026年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5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1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日</w:t>
      </w:r>
    </w:p>
    <w:sectPr>
      <w:footerReference r:id="rId5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DengXia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3B6DA0">
    <w:pPr>
      <w:pStyle w:val="11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3815DF6">
                          <w:pPr>
                            <w:pStyle w:val="11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3815DF6">
                    <w:pPr>
                      <w:pStyle w:val="11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930"/>
    <w:rsid w:val="0001381C"/>
    <w:rsid w:val="00037B05"/>
    <w:rsid w:val="000940AF"/>
    <w:rsid w:val="000A7228"/>
    <w:rsid w:val="000C5C90"/>
    <w:rsid w:val="000D1E9D"/>
    <w:rsid w:val="000F2BE3"/>
    <w:rsid w:val="00140091"/>
    <w:rsid w:val="00153A6E"/>
    <w:rsid w:val="00180F7C"/>
    <w:rsid w:val="00233064"/>
    <w:rsid w:val="00240690"/>
    <w:rsid w:val="00265B82"/>
    <w:rsid w:val="00277A68"/>
    <w:rsid w:val="002A226A"/>
    <w:rsid w:val="002D4567"/>
    <w:rsid w:val="003160D4"/>
    <w:rsid w:val="00326446"/>
    <w:rsid w:val="00343039"/>
    <w:rsid w:val="0038535C"/>
    <w:rsid w:val="00390453"/>
    <w:rsid w:val="003D0BB1"/>
    <w:rsid w:val="00402AD7"/>
    <w:rsid w:val="00410536"/>
    <w:rsid w:val="004222F6"/>
    <w:rsid w:val="00427919"/>
    <w:rsid w:val="00451BBF"/>
    <w:rsid w:val="004676B8"/>
    <w:rsid w:val="004B4C72"/>
    <w:rsid w:val="004B77EC"/>
    <w:rsid w:val="005204C1"/>
    <w:rsid w:val="00576AF2"/>
    <w:rsid w:val="00585A7F"/>
    <w:rsid w:val="00590090"/>
    <w:rsid w:val="005A14CF"/>
    <w:rsid w:val="00603FC9"/>
    <w:rsid w:val="00615C91"/>
    <w:rsid w:val="00633A53"/>
    <w:rsid w:val="00641174"/>
    <w:rsid w:val="00651623"/>
    <w:rsid w:val="00653741"/>
    <w:rsid w:val="006656A4"/>
    <w:rsid w:val="00687661"/>
    <w:rsid w:val="006911C1"/>
    <w:rsid w:val="006A074B"/>
    <w:rsid w:val="006A076D"/>
    <w:rsid w:val="006F1DA7"/>
    <w:rsid w:val="007152F0"/>
    <w:rsid w:val="00735B9E"/>
    <w:rsid w:val="0074275A"/>
    <w:rsid w:val="007454E1"/>
    <w:rsid w:val="007736AE"/>
    <w:rsid w:val="007741CE"/>
    <w:rsid w:val="007910EA"/>
    <w:rsid w:val="007D0B61"/>
    <w:rsid w:val="007F2B2D"/>
    <w:rsid w:val="008037A0"/>
    <w:rsid w:val="00814403"/>
    <w:rsid w:val="00863772"/>
    <w:rsid w:val="008A0490"/>
    <w:rsid w:val="008B4D38"/>
    <w:rsid w:val="008B5E51"/>
    <w:rsid w:val="00953705"/>
    <w:rsid w:val="00966723"/>
    <w:rsid w:val="00967D89"/>
    <w:rsid w:val="00981A89"/>
    <w:rsid w:val="009A26C0"/>
    <w:rsid w:val="009C32A9"/>
    <w:rsid w:val="00A00B32"/>
    <w:rsid w:val="00A365E6"/>
    <w:rsid w:val="00A9452D"/>
    <w:rsid w:val="00A97514"/>
    <w:rsid w:val="00AC0BFD"/>
    <w:rsid w:val="00AE2228"/>
    <w:rsid w:val="00B53263"/>
    <w:rsid w:val="00B675E6"/>
    <w:rsid w:val="00BD69EB"/>
    <w:rsid w:val="00BF77B8"/>
    <w:rsid w:val="00C03D0C"/>
    <w:rsid w:val="00C4607F"/>
    <w:rsid w:val="00C577EE"/>
    <w:rsid w:val="00C677B9"/>
    <w:rsid w:val="00CA5D29"/>
    <w:rsid w:val="00D17609"/>
    <w:rsid w:val="00D2086B"/>
    <w:rsid w:val="00D24134"/>
    <w:rsid w:val="00D2514A"/>
    <w:rsid w:val="00D77511"/>
    <w:rsid w:val="00D83CC4"/>
    <w:rsid w:val="00D879BA"/>
    <w:rsid w:val="00DC44FF"/>
    <w:rsid w:val="00DD40B2"/>
    <w:rsid w:val="00E032F8"/>
    <w:rsid w:val="00E15768"/>
    <w:rsid w:val="00E222B3"/>
    <w:rsid w:val="00E35DDA"/>
    <w:rsid w:val="00E62702"/>
    <w:rsid w:val="00E82E29"/>
    <w:rsid w:val="00EF7FA8"/>
    <w:rsid w:val="00F219CE"/>
    <w:rsid w:val="00F36930"/>
    <w:rsid w:val="00F47712"/>
    <w:rsid w:val="00F730D3"/>
    <w:rsid w:val="00F93AC3"/>
    <w:rsid w:val="00FC6F20"/>
    <w:rsid w:val="05F407AD"/>
    <w:rsid w:val="15DF3389"/>
    <w:rsid w:val="19F85670"/>
    <w:rsid w:val="4DD56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21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</w:rPr>
  </w:style>
  <w:style w:type="paragraph" w:styleId="7">
    <w:name w:val="heading 6"/>
    <w:basedOn w:val="1"/>
    <w:next w:val="1"/>
    <w:link w:val="24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5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6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7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9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2">
    <w:name w:val="header"/>
    <w:basedOn w:val="1"/>
    <w:link w:val="38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9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 w:line="240" w:lineRule="auto"/>
    </w:pPr>
    <w:rPr>
      <w:rFonts w:ascii="宋体" w:hAnsi="宋体" w:eastAsia="宋体" w:cs="宋体"/>
      <w:kern w:val="0"/>
      <w:sz w:val="24"/>
      <w14:ligatures w14:val="none"/>
    </w:rPr>
  </w:style>
  <w:style w:type="paragraph" w:styleId="15">
    <w:name w:val="Title"/>
    <w:basedOn w:val="1"/>
    <w:next w:val="1"/>
    <w:link w:val="28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18">
    <w:name w:val="Hyperlink"/>
    <w:basedOn w:val="17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9">
    <w:name w:val="标题 1 字符"/>
    <w:basedOn w:val="17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20">
    <w:name w:val="标题 2 字符"/>
    <w:basedOn w:val="17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1">
    <w:name w:val="标题 3 字符"/>
    <w:basedOn w:val="17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2">
    <w:name w:val="标题 4 字符"/>
    <w:basedOn w:val="17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3">
    <w:name w:val="标题 5 字符"/>
    <w:basedOn w:val="17"/>
    <w:link w:val="6"/>
    <w:semiHidden/>
    <w:qFormat/>
    <w:uiPriority w:val="9"/>
    <w:rPr>
      <w:rFonts w:cstheme="majorBidi"/>
      <w:color w:val="2F5597" w:themeColor="accent1" w:themeShade="BF"/>
      <w:sz w:val="24"/>
    </w:rPr>
  </w:style>
  <w:style w:type="character" w:customStyle="1" w:styleId="24">
    <w:name w:val="标题 6 字符"/>
    <w:basedOn w:val="17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5">
    <w:name w:val="标题 7 字符"/>
    <w:basedOn w:val="17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8 字符"/>
    <w:basedOn w:val="17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9 字符"/>
    <w:basedOn w:val="17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字符"/>
    <w:basedOn w:val="17"/>
    <w:link w:val="15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9">
    <w:name w:val="副标题 字符"/>
    <w:basedOn w:val="17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0">
    <w:name w:val="Quote"/>
    <w:basedOn w:val="1"/>
    <w:next w:val="1"/>
    <w:link w:val="31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1">
    <w:name w:val="引用 字符"/>
    <w:basedOn w:val="17"/>
    <w:link w:val="30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2">
    <w:name w:val="List Paragraph"/>
    <w:basedOn w:val="1"/>
    <w:qFormat/>
    <w:uiPriority w:val="34"/>
    <w:pPr>
      <w:ind w:left="720"/>
      <w:contextualSpacing/>
    </w:pPr>
  </w:style>
  <w:style w:type="character" w:customStyle="1" w:styleId="33">
    <w:name w:val="明显强调1"/>
    <w:basedOn w:val="17"/>
    <w:qFormat/>
    <w:uiPriority w:val="21"/>
    <w:rPr>
      <w:i/>
      <w:iCs/>
      <w:color w:val="2F5597" w:themeColor="accent1" w:themeShade="BF"/>
    </w:rPr>
  </w:style>
  <w:style w:type="paragraph" w:styleId="34">
    <w:name w:val="Intense Quote"/>
    <w:basedOn w:val="1"/>
    <w:next w:val="1"/>
    <w:link w:val="35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5">
    <w:name w:val="明显引用 字符"/>
    <w:basedOn w:val="17"/>
    <w:link w:val="34"/>
    <w:qFormat/>
    <w:uiPriority w:val="30"/>
    <w:rPr>
      <w:i/>
      <w:iCs/>
      <w:color w:val="2F5597" w:themeColor="accent1" w:themeShade="BF"/>
    </w:rPr>
  </w:style>
  <w:style w:type="character" w:customStyle="1" w:styleId="36">
    <w:name w:val="明显参考1"/>
    <w:basedOn w:val="17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7">
    <w:name w:val="未处理的提及1"/>
    <w:basedOn w:val="17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38">
    <w:name w:val="页眉 字符"/>
    <w:basedOn w:val="17"/>
    <w:link w:val="12"/>
    <w:qFormat/>
    <w:uiPriority w:val="99"/>
    <w:rPr>
      <w:sz w:val="18"/>
      <w:szCs w:val="18"/>
    </w:rPr>
  </w:style>
  <w:style w:type="character" w:customStyle="1" w:styleId="39">
    <w:name w:val="页脚 字符"/>
    <w:basedOn w:val="17"/>
    <w:link w:val="1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1985</Words>
  <Characters>2306</Characters>
  <Lines>17</Lines>
  <Paragraphs>4</Paragraphs>
  <TotalTime>9</TotalTime>
  <ScaleCrop>false</ScaleCrop>
  <LinksUpToDate>false</LinksUpToDate>
  <CharactersWithSpaces>2352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2026-04-26T11:32:00Z</dcterms:created>
  <dc:creator>晓燕 宋</dc:creator>
  <cp:lastModifiedBy>路~~</cp:lastModifiedBy>
  <dcterms:modified xsi:type="dcterms:W3CDTF">2026-05-19T03:10:00Z</dcterms:modified>
  <cp:revision>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eyJoZGlkIjoiMTQ4MzUxZWQ2ZWNmOTM0ZjQ4YmQ1MGI4Y2E4YmZhY2MiLCJ1c2VySWQiOiIyNDA3MzM3MjEifQ==</vt:lpwstr>
  </property>
  <property fmtid="{D5CDD505-2E9C-101B-9397-08002B2CF9AE}" pid="3" name="KSOProductBuildVer">
    <vt:lpwstr>2052-12.1.0.25865</vt:lpwstr>
  </property>
  <property fmtid="{D5CDD505-2E9C-101B-9397-08002B2CF9AE}" pid="4" name="ICV">
    <vt:lpwstr>8F26E498CF9745F88E15E5B74A6D59E3_12</vt:lpwstr>
  </property>
</Properties>
</file>