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3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14:ligatures w14:val="none"/>
        </w:rPr>
        <w:t>贵州省粮油作物优质高效增产全省重点实验室2026年度开放课题申报指南</w:t>
      </w:r>
    </w:p>
    <w:p w14:paraId="5DBF4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14:ligatures w14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14:ligatures w14:val="none"/>
        </w:rPr>
        <w:t>（一般项目）</w:t>
      </w:r>
    </w:p>
    <w:p w14:paraId="5F16E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14:ligatures w14:val="none"/>
        </w:rPr>
      </w:pPr>
    </w:p>
    <w:p w14:paraId="225E9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各有关单位、科研人员：</w:t>
      </w:r>
    </w:p>
    <w:p w14:paraId="0EAC5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年度贵州省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开放课题申报指南》（下称《申报指南》）经实验室学术委员会研究同意，即日发布并开始受理项目申报。本年度计划资助1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项，每项资助经费不超过5万元，研究期限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年。现将项目申报的有关事项公告如下：</w:t>
      </w:r>
    </w:p>
    <w:p w14:paraId="039E1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一、资助方向及重点研究内容</w:t>
      </w:r>
    </w:p>
    <w:p w14:paraId="638B8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围绕贵州粮食安全重大战略需求和粮油作物大面积单产提升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的科学问题与技术难题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资助方向为以下四个研究内容中的某一方向。</w:t>
      </w:r>
    </w:p>
    <w:p w14:paraId="7BA6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 资源高效利用与产量品质协同提升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关键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技术</w:t>
      </w:r>
    </w:p>
    <w:p w14:paraId="7A0CA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水稻产量品质协同提升技术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39DD1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稻油轮作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周年高产高效技术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403C2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（3）香禾糯、有色稻产量品质协同提升技术。</w:t>
      </w:r>
    </w:p>
    <w:p w14:paraId="5FA1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绿色栽培与抗逆减灾</w:t>
      </w:r>
      <w:bookmarkStart w:id="0" w:name="OLE_LINK1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关键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技术</w:t>
      </w:r>
      <w:bookmarkEnd w:id="0"/>
    </w:p>
    <w:p w14:paraId="7DD6C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水稻的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优质高产绿色栽培技术；</w:t>
      </w:r>
    </w:p>
    <w:p w14:paraId="0D94A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油菜抗病绿色栽培技术；</w:t>
      </w:r>
    </w:p>
    <w:p w14:paraId="5209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（3）小麦抗病绿色栽培技术。</w:t>
      </w:r>
    </w:p>
    <w:p w14:paraId="4DF71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机艺融合与智慧农作理论与技术</w:t>
      </w:r>
    </w:p>
    <w:p w14:paraId="7194B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稻油轮作全程机械化技术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4ABA4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粮油作物智慧农作技术；</w:t>
      </w:r>
    </w:p>
    <w:p w14:paraId="1B499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</w:t>
      </w:r>
      <w:bookmarkStart w:id="1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山地小型农机的创制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与应用。</w:t>
      </w:r>
    </w:p>
    <w:p w14:paraId="715AB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高产优质高效抗逆基因挖掘与创新应用</w:t>
      </w:r>
    </w:p>
    <w:p w14:paraId="5BDF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水稻优质或抗逆基因的挖掘与应用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4350F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小麦优质或抗病基因的挖掘与应用；</w:t>
      </w:r>
    </w:p>
    <w:p w14:paraId="4153D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（3）大豆、油菜、玉米优质或抗逆基因的挖掘与应用。</w:t>
      </w:r>
    </w:p>
    <w:p w14:paraId="47BFE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二、申报条件</w:t>
      </w:r>
    </w:p>
    <w:p w14:paraId="29669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申请人应从事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粮油作物栽培或育种、农机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研究经历；具有创新的学术思想，有明确、先进的研究目标，考核指标明确、具体；有科学、可行的研究方案。</w:t>
      </w:r>
    </w:p>
    <w:p w14:paraId="5F75B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申请人基本条件</w:t>
      </w:r>
    </w:p>
    <w:p w14:paraId="4225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非本校的在编在岗人员，具有较强科学研究、技术开发能力，能解决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设立资助方向技术问题，能独立承担较复杂项目研究。</w:t>
      </w:r>
    </w:p>
    <w:p w14:paraId="608A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硕士以上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学位、中级职称以上技术职称的国内外科技工作者。</w:t>
      </w:r>
    </w:p>
    <w:p w14:paraId="4E270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OLE_LINK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申请人应具备严谨务实，实事求是的科学态度，确保拟申报项目的工作基础、研究现状、人员组成、研究方法等内容真实可信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，无违反科研诚信行为记录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bookmarkEnd w:id="2"/>
    <w:p w14:paraId="4A5F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申请人要严格按照目标相关性、政策相符性和经济合理性原则，规范编制项目经费预算，确保经费预算科学、规范和合理。</w:t>
      </w:r>
    </w:p>
    <w:p w14:paraId="5F969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三、基金执行说明</w:t>
      </w:r>
    </w:p>
    <w:p w14:paraId="2FE2B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开放课题经费在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（贵州大学）使用，经费不外拨。经费使用需遵守《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科研项目及经费管理办法》的规定。</w:t>
      </w:r>
    </w:p>
    <w:p w14:paraId="27F0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凡接受本基金资助的项目研究成果，由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贵州省粮油作物优质高效增产全省重点实验室（贵州大学）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和研究者所在单位共享，研究成果或论文发表时，须注明受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2026年度联合开放课题基金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资助，</w:t>
      </w:r>
      <w:bookmarkStart w:id="3" w:name="_Hlk229768776"/>
      <w:r>
        <w:rPr>
          <w:rFonts w:hint="default" w:ascii="Times New Roman" w:hAnsi="Times New Roman" w:eastAsia="仿宋_GB2312" w:cs="Times New Roman"/>
          <w:sz w:val="32"/>
          <w:szCs w:val="32"/>
        </w:rPr>
        <w:t>且为第一标注，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署名为：</w:t>
      </w:r>
    </w:p>
    <w:p w14:paraId="5792F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4" w:name="OLE_LINK6"/>
      <w:r>
        <w:rPr>
          <w:rFonts w:hint="default" w:ascii="Times New Roman" w:hAnsi="Times New Roman" w:eastAsia="仿宋_GB2312" w:cs="Times New Roman"/>
          <w:sz w:val="32"/>
          <w:szCs w:val="32"/>
        </w:rPr>
        <w:t>中文：贵州省粮油作物优质高效增产全省重点实验室，贵阳，550025；英文：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Guizhou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Key Laboratory of High Quality, High Efficiency, and Yield Enhancement in Grain and Oil Crops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 Guizhou University, Guiyang 550025, China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265F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论文中中文应注明“贵州省粮油作物优质高效增产全省重点实验室（项目编号:黔科合平台ZSYS[2025]037）”；英文为：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Guizhou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Key Laboratory of High Quality, High Efficiency, and Yield Enhancement in Grain and Oil Crops, Guizhou University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(Qian-Ke-He-Platform ZSYS[2025] 037)。</w:t>
      </w:r>
    </w:p>
    <w:bookmarkEnd w:id="4"/>
    <w:p w14:paraId="2FB43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考核指标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须包含中期考核与结题考核要求，除满足结题要求外，还须满足下列条件之一：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形成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与申请方向相关的1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项新产品或取得技术突破，具有一定的经济效益且在相关行业采用（附企业采纳证明），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并以第一发明人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受理发明专利1项。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与申请方向相关的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技术成果产业化1项或通过省部级及以上成果鉴定1项，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并以第一发明人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受理发明专利1项。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③以第一作者或通讯作者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与申请方向相关的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SCI论文1篇（中国科学院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分区二区及以上）。SCI论文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应以重点实验室为第一或第二署名单位，同时资助单位的贵州大学固定人员为通讯作者之一；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专利、软著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、品种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等知识产权，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“贵州大学”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，且完成人中要包含贵州大学固定人员。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课题结束后，成果报告交实验室归档。</w:t>
      </w:r>
    </w:p>
    <w:p w14:paraId="2F9C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四、申请流程</w:t>
      </w:r>
    </w:p>
    <w:p w14:paraId="315DB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月20日前开放课题负责人将《申报书》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详见附件1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和《合同书》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详见附件2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发送到联系邮箱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合同书可延后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。并同时将纸质版寄给联系人。</w:t>
      </w:r>
    </w:p>
    <w:p w14:paraId="74889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《合同书》中的经费预算按照财政总资助经费、其他来源经费合计填报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项目研究起止时间统一填报为2026年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月1日至202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月30日。</w:t>
      </w:r>
    </w:p>
    <w:p w14:paraId="3655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项目负责人提交的《合同书》须A3双面打印骑逢装订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一式四份加盖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公章后于2026年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月30日前报送给实验室联系人。</w:t>
      </w:r>
    </w:p>
    <w:p w14:paraId="1B06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五、联系方式</w:t>
      </w:r>
    </w:p>
    <w:p w14:paraId="633FB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宋晓燕，方中明</w:t>
      </w:r>
    </w:p>
    <w:p w14:paraId="1E02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13523049176，13297000816</w:t>
      </w:r>
    </w:p>
    <w:p w14:paraId="6F54B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"mailto:songxy@gzu.edu.cn"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8"/>
          <w:rFonts w:hint="default" w:ascii="Times New Roman" w:hAnsi="Times New Roman" w:eastAsia="仿宋_GB2312" w:cs="Times New Roman"/>
          <w:iCs/>
          <w:color w:val="0000FF"/>
          <w:sz w:val="32"/>
          <w:szCs w:val="32"/>
          <w14:ligatures w14:val="none"/>
        </w:rPr>
        <w:t>songxy@gzu.edu.cn</w:t>
      </w:r>
      <w:r>
        <w:rPr>
          <w:rStyle w:val="18"/>
          <w:rFonts w:hint="default" w:ascii="Times New Roman" w:hAnsi="Times New Roman" w:eastAsia="仿宋_GB2312" w:cs="Times New Roman"/>
          <w:iCs/>
          <w:color w:val="0000FF"/>
          <w:sz w:val="32"/>
          <w:szCs w:val="32"/>
          <w14:ligatures w14:val="none"/>
        </w:rPr>
        <w:fldChar w:fldCharType="end"/>
      </w:r>
    </w:p>
    <w:p w14:paraId="1FA4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通讯地址：贵州省贵阳市花溪区贵州大学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西校区崇厚楼1036，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邮编：550025</w:t>
      </w:r>
    </w:p>
    <w:p w14:paraId="7925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开放基金申请书</w:t>
      </w:r>
    </w:p>
    <w:p w14:paraId="3E123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开放基金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项目合同</w:t>
      </w:r>
    </w:p>
    <w:p w14:paraId="6517E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80E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E7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5" w:name="_GoBack"/>
      <w:bookmarkEnd w:id="5"/>
    </w:p>
    <w:p w14:paraId="703A7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贵州省粮油作物优质高效增产全省重点实验室</w:t>
      </w:r>
    </w:p>
    <w:p w14:paraId="2DDC1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5FF2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E35D2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E35D2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30"/>
    <w:rsid w:val="00102BAE"/>
    <w:rsid w:val="00114729"/>
    <w:rsid w:val="00183851"/>
    <w:rsid w:val="00233064"/>
    <w:rsid w:val="00233DB6"/>
    <w:rsid w:val="00240690"/>
    <w:rsid w:val="00245833"/>
    <w:rsid w:val="00265B82"/>
    <w:rsid w:val="002C010D"/>
    <w:rsid w:val="002F7F12"/>
    <w:rsid w:val="003643C0"/>
    <w:rsid w:val="003D4679"/>
    <w:rsid w:val="003E4853"/>
    <w:rsid w:val="00403C4A"/>
    <w:rsid w:val="004047DE"/>
    <w:rsid w:val="00410536"/>
    <w:rsid w:val="004935EC"/>
    <w:rsid w:val="00496A2F"/>
    <w:rsid w:val="004C258C"/>
    <w:rsid w:val="004D4276"/>
    <w:rsid w:val="004F6AF7"/>
    <w:rsid w:val="00524F36"/>
    <w:rsid w:val="00576AF2"/>
    <w:rsid w:val="00585A7F"/>
    <w:rsid w:val="005A14CF"/>
    <w:rsid w:val="005B3A56"/>
    <w:rsid w:val="00615C91"/>
    <w:rsid w:val="00616D4D"/>
    <w:rsid w:val="0064163C"/>
    <w:rsid w:val="00651623"/>
    <w:rsid w:val="00651F69"/>
    <w:rsid w:val="00653741"/>
    <w:rsid w:val="006911C1"/>
    <w:rsid w:val="006A074B"/>
    <w:rsid w:val="006A076D"/>
    <w:rsid w:val="006C22F9"/>
    <w:rsid w:val="007134E7"/>
    <w:rsid w:val="007152F0"/>
    <w:rsid w:val="007225C0"/>
    <w:rsid w:val="0074275A"/>
    <w:rsid w:val="007454E1"/>
    <w:rsid w:val="007C051D"/>
    <w:rsid w:val="007D0B61"/>
    <w:rsid w:val="007F2B2D"/>
    <w:rsid w:val="00814403"/>
    <w:rsid w:val="00832234"/>
    <w:rsid w:val="00833053"/>
    <w:rsid w:val="00833DD5"/>
    <w:rsid w:val="00963CB0"/>
    <w:rsid w:val="00966723"/>
    <w:rsid w:val="00990295"/>
    <w:rsid w:val="009F4146"/>
    <w:rsid w:val="009F6101"/>
    <w:rsid w:val="00A30AB3"/>
    <w:rsid w:val="00A365E6"/>
    <w:rsid w:val="00A9452D"/>
    <w:rsid w:val="00AE3414"/>
    <w:rsid w:val="00B017D2"/>
    <w:rsid w:val="00B3387F"/>
    <w:rsid w:val="00B41504"/>
    <w:rsid w:val="00B675E6"/>
    <w:rsid w:val="00B828C4"/>
    <w:rsid w:val="00BC7347"/>
    <w:rsid w:val="00C0427B"/>
    <w:rsid w:val="00C12A20"/>
    <w:rsid w:val="00C158EA"/>
    <w:rsid w:val="00C21338"/>
    <w:rsid w:val="00C262AD"/>
    <w:rsid w:val="00C93DC3"/>
    <w:rsid w:val="00D22552"/>
    <w:rsid w:val="00D46344"/>
    <w:rsid w:val="00D649AF"/>
    <w:rsid w:val="00D77511"/>
    <w:rsid w:val="00D830B9"/>
    <w:rsid w:val="00DC44FF"/>
    <w:rsid w:val="00DE2ABB"/>
    <w:rsid w:val="00E63B46"/>
    <w:rsid w:val="00EB0948"/>
    <w:rsid w:val="00F36930"/>
    <w:rsid w:val="00F70691"/>
    <w:rsid w:val="00FA28B1"/>
    <w:rsid w:val="15992EB6"/>
    <w:rsid w:val="3C002005"/>
    <w:rsid w:val="4E47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qFormat/>
    <w:uiPriority w:val="99"/>
    <w:rPr>
      <w:kern w:val="2"/>
      <w:sz w:val="18"/>
      <w:szCs w:val="18"/>
      <w14:ligatures w14:val="standardContextual"/>
    </w:rPr>
  </w:style>
  <w:style w:type="character" w:customStyle="1" w:styleId="39">
    <w:name w:val="页脚 字符"/>
    <w:basedOn w:val="17"/>
    <w:link w:val="11"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1835</Words>
  <Characters>2157</Characters>
  <Lines>16</Lines>
  <Paragraphs>4</Paragraphs>
  <TotalTime>2</TotalTime>
  <ScaleCrop>false</ScaleCrop>
  <LinksUpToDate>false</LinksUpToDate>
  <CharactersWithSpaces>2203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2026-04-25T21:34:00Z</dcterms:created>
  <dc:creator>晓燕 宋</dc:creator>
  <cp:lastModifiedBy>路~~</cp:lastModifiedBy>
  <dcterms:modified xsi:type="dcterms:W3CDTF">2026-05-19T03:10:55Z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eyJoZGlkIjoiMTQ4MzUxZWQ2ZWNmOTM0ZjQ4YmQ1MGI4Y2E4YmZhY2MiLCJ1c2VySWQiOiIyNDA3MzM3MjEifQ==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1D07F47D76324687B9DE18FCF76CA43C_12</vt:lpwstr>
  </property>
</Properties>
</file>